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群知科技</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日东莞市</w:t>
      </w:r>
      <w:r>
        <w:rPr>
          <w:rFonts w:hint="eastAsia" w:ascii="Times New Roman"/>
          <w:sz w:val="24"/>
          <w:szCs w:val="24"/>
          <w:lang w:eastAsia="zh-CN"/>
        </w:rPr>
        <w:t>群知科技</w:t>
      </w:r>
      <w:r>
        <w:rPr>
          <w:rFonts w:hint="eastAsia" w:ascii="Times New Roman"/>
          <w:sz w:val="24"/>
          <w:szCs w:val="24"/>
        </w:rPr>
        <w:t>有限公司根据东莞市</w:t>
      </w:r>
      <w:r>
        <w:rPr>
          <w:rFonts w:hint="eastAsia" w:ascii="Times New Roman"/>
          <w:sz w:val="24"/>
          <w:szCs w:val="24"/>
          <w:lang w:eastAsia="zh-CN"/>
        </w:rPr>
        <w:t>群知科技</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群知科技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东莞市虎门怀德大埔路</w:t>
      </w:r>
      <w:r>
        <w:rPr>
          <w:rFonts w:hint="eastAsia" w:cs="Times New Roman"/>
          <w:color w:val="000000"/>
          <w:lang w:val="en-US" w:eastAsia="zh-CN"/>
        </w:rPr>
        <w:t>21号1栋301是、401室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4.96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48.64</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900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16</w:t>
      </w:r>
      <w:r>
        <w:rPr>
          <w:rFonts w:hint="eastAsia" w:cs="Times New Roman"/>
        </w:rPr>
        <w:t>人，主要</w:t>
      </w:r>
      <w:r>
        <w:rPr>
          <w:rFonts w:hint="eastAsia" w:cs="Times New Roman"/>
          <w:lang w:eastAsia="zh-CN"/>
        </w:rPr>
        <w:t>加工生产磁铁、铁氧体</w:t>
      </w:r>
      <w:r>
        <w:rPr>
          <w:rFonts w:hint="eastAsia" w:cs="Times New Roman"/>
        </w:rPr>
        <w:t>，年</w:t>
      </w:r>
      <w:r>
        <w:rPr>
          <w:rFonts w:hint="eastAsia" w:cs="Times New Roman"/>
          <w:lang w:eastAsia="zh-CN"/>
        </w:rPr>
        <w:t>加工生产磁铁</w:t>
      </w:r>
      <w:r>
        <w:rPr>
          <w:rFonts w:hint="eastAsia" w:cs="Times New Roman"/>
          <w:lang w:val="en-US" w:eastAsia="zh-CN"/>
        </w:rPr>
        <w:t>1400万个、铁氧体3000万个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群知科技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群知科技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19329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一期验收设备详情（附表）</w:t>
      </w:r>
    </w:p>
    <w:tbl>
      <w:tblPr>
        <w:tblStyle w:val="9"/>
        <w:tblpPr w:leftFromText="180" w:rightFromText="180" w:vertAnchor="text" w:horzAnchor="page" w:tblpX="1365" w:tblpY="654"/>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90"/>
        <w:gridCol w:w="1185"/>
        <w:gridCol w:w="2191"/>
        <w:gridCol w:w="19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9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未验收设备数量</w:t>
            </w:r>
          </w:p>
        </w:tc>
        <w:tc>
          <w:tcPr>
            <w:tcW w:w="11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小型滚筒喷涂设备</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150台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84台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66台</w:t>
            </w:r>
          </w:p>
        </w:tc>
        <w:tc>
          <w:tcPr>
            <w:tcW w:w="11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喷涂机械手</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洪烤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真空压烤箱</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测试机</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8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19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eastAsia="zh-CN"/>
              </w:rPr>
              <w:t>盐雾测试机</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千分尺测量仪</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180"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18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19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喷涂、烘烤工序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 《家具制造行业挥发性有机化合物排放标准》（DB44/814-2010）第 II 时段限值要求。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SPJC20191221001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喷涂、烘烤工序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《家具制造行业挥发性有机化合物排放标准》（DB44/814-2010）第 II 时段限值要求。</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SPJC20191221001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SPJC20191221001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东莞市群知科技有限公司</w:t>
      </w:r>
      <w:bookmarkStart w:id="0" w:name="_GoBack"/>
      <w:bookmarkEnd w:id="0"/>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一期项目不从事夜间生产，如若项目需从事夜间生产，再申报夜间噪音达标验收。一期项目因设备未回齐，暂未引进设备有（小型滚筒喷涂设备</w:t>
      </w:r>
      <w:r>
        <w:rPr>
          <w:rFonts w:hint="eastAsia" w:ascii="Times New Roman" w:hAnsi="Times New Roman"/>
          <w:sz w:val="24"/>
          <w:szCs w:val="24"/>
          <w:lang w:val="en-US" w:eastAsia="zh-CN"/>
        </w:rPr>
        <w:t>66台、喷涂机械手2台、测试机2台、盐雾测试机1台、千分尺测量仪3台</w:t>
      </w:r>
      <w:r>
        <w:rPr>
          <w:rFonts w:hint="eastAsia" w:ascii="Times New Roman" w:hAnsi="Times New Roman"/>
          <w:sz w:val="24"/>
          <w:szCs w:val="24"/>
          <w:lang w:eastAsia="zh-CN"/>
        </w:rPr>
        <w:t>），待设备回齐后再向贵局申请二次验收。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群知科技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群知科技</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54B6C5F"/>
    <w:rsid w:val="582E11CE"/>
    <w:rsid w:val="59971B00"/>
    <w:rsid w:val="5CD67C8C"/>
    <w:rsid w:val="5D5242FD"/>
    <w:rsid w:val="60ED1601"/>
    <w:rsid w:val="629C5491"/>
    <w:rsid w:val="63B50DE9"/>
    <w:rsid w:val="674D4C2F"/>
    <w:rsid w:val="67D61337"/>
    <w:rsid w:val="6E801591"/>
    <w:rsid w:val="6ED22FFA"/>
    <w:rsid w:val="70CB01F1"/>
    <w:rsid w:val="710961DF"/>
    <w:rsid w:val="711C32AE"/>
    <w:rsid w:val="734A210C"/>
    <w:rsid w:val="738A2110"/>
    <w:rsid w:val="76232E78"/>
    <w:rsid w:val="777A2D9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2020-01-09T01:44:06Z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