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虎门兴裕纸业</w:t>
      </w:r>
      <w:r>
        <w:rPr>
          <w:rFonts w:hint="eastAsia" w:ascii="Times New Roman"/>
          <w:b/>
          <w:sz w:val="28"/>
          <w:szCs w:val="28"/>
        </w:rPr>
        <w:t>有限公司</w:t>
      </w:r>
      <w:r>
        <w:rPr>
          <w:rFonts w:hint="eastAsia" w:ascii="Times New Roman"/>
          <w:b/>
          <w:sz w:val="28"/>
          <w:szCs w:val="28"/>
          <w:lang w:eastAsia="zh-CN"/>
        </w:rPr>
        <w:t>（二次扩建）建设</w:t>
      </w:r>
      <w:r>
        <w:rPr>
          <w:rFonts w:hint="eastAsia" w:ascii="Times New Roman"/>
          <w:b/>
          <w:sz w:val="28"/>
          <w:szCs w:val="28"/>
        </w:rPr>
        <w:t>项目竣工环境</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13</w:t>
      </w:r>
      <w:r>
        <w:rPr>
          <w:rFonts w:hint="eastAsia" w:ascii="Times New Roman"/>
          <w:sz w:val="24"/>
          <w:szCs w:val="24"/>
        </w:rPr>
        <w:t>日东莞市</w:t>
      </w:r>
      <w:r>
        <w:rPr>
          <w:rFonts w:hint="eastAsia" w:ascii="Times New Roman"/>
          <w:sz w:val="24"/>
          <w:szCs w:val="24"/>
          <w:lang w:eastAsia="zh-CN"/>
        </w:rPr>
        <w:t>虎门兴裕纸业</w:t>
      </w:r>
      <w:r>
        <w:rPr>
          <w:rFonts w:hint="eastAsia" w:ascii="Times New Roman"/>
          <w:sz w:val="24"/>
          <w:szCs w:val="24"/>
        </w:rPr>
        <w:t>有限公司根据东莞市</w:t>
      </w:r>
      <w:r>
        <w:rPr>
          <w:rFonts w:hint="eastAsia" w:ascii="Times New Roman"/>
          <w:sz w:val="24"/>
          <w:szCs w:val="24"/>
          <w:lang w:eastAsia="zh-CN"/>
        </w:rPr>
        <w:t>虎门兴裕纸业</w:t>
      </w:r>
      <w:r>
        <w:rPr>
          <w:rFonts w:hint="eastAsia" w:ascii="Times New Roman"/>
          <w:sz w:val="24"/>
          <w:szCs w:val="24"/>
        </w:rPr>
        <w:t>有限公司</w:t>
      </w:r>
      <w:r>
        <w:rPr>
          <w:rFonts w:hint="eastAsia" w:ascii="Times New Roman"/>
          <w:sz w:val="24"/>
          <w:szCs w:val="24"/>
          <w:lang w:eastAsia="zh-CN"/>
        </w:rPr>
        <w:t>（二次扩建）建设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虎门兴裕纸业</w:t>
      </w:r>
      <w:r>
        <w:rPr>
          <w:rFonts w:hint="eastAsia" w:cs="Times New Roman"/>
        </w:rPr>
        <w:t>有限公司位于</w:t>
      </w:r>
      <w:r>
        <w:rPr>
          <w:rFonts w:hint="eastAsia" w:cs="Times New Roman"/>
          <w:color w:val="000000"/>
          <w:lang w:eastAsia="zh-CN"/>
        </w:rPr>
        <w:t>东莞市虎门镇北栅西坊路</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57.56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54.86</w:t>
      </w:r>
      <w:r>
        <w:rPr>
          <w:rFonts w:cs="Times New Roman"/>
          <w:bCs/>
          <w:color w:val="000000"/>
        </w:rPr>
        <w:t>″</w:t>
      </w:r>
      <w:r>
        <w:rPr>
          <w:rFonts w:hint="eastAsia" w:cs="Times New Roman"/>
          <w:bCs/>
          <w:color w:val="000000"/>
        </w:rPr>
        <w:t>）</w:t>
      </w:r>
      <w:r>
        <w:rPr>
          <w:rFonts w:hint="eastAsia" w:cs="Times New Roman"/>
        </w:rPr>
        <w:t>。项目</w:t>
      </w:r>
      <w:r>
        <w:rPr>
          <w:rFonts w:hint="eastAsia" w:cs="Times New Roman"/>
          <w:lang w:eastAsia="zh-CN"/>
        </w:rPr>
        <w:t>二次扩建</w:t>
      </w:r>
      <w:r>
        <w:rPr>
          <w:rFonts w:hint="eastAsia" w:cs="Times New Roman"/>
        </w:rPr>
        <w:t>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3425</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160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加工生产特种花纹纸</w:t>
      </w:r>
      <w:r>
        <w:rPr>
          <w:rFonts w:hint="eastAsia" w:cs="Times New Roman"/>
        </w:rPr>
        <w:t>，年</w:t>
      </w:r>
      <w:r>
        <w:rPr>
          <w:rFonts w:hint="eastAsia" w:cs="Times New Roman"/>
          <w:lang w:eastAsia="zh-CN"/>
        </w:rPr>
        <w:t>加工生产特种花纹纸</w:t>
      </w:r>
      <w:r>
        <w:rPr>
          <w:rFonts w:hint="eastAsia" w:cs="Times New Roman"/>
          <w:lang w:val="en-US" w:eastAsia="zh-CN"/>
        </w:rPr>
        <w:t>18000令</w:t>
      </w:r>
      <w:r>
        <w:rPr>
          <w:rFonts w:hint="eastAsia" w:cs="Times New Roman"/>
        </w:rPr>
        <w:t>。</w:t>
      </w:r>
    </w:p>
    <w:p>
      <w:pPr>
        <w:pStyle w:val="19"/>
        <w:ind w:firstLine="482"/>
        <w:rPr>
          <w:rFonts w:cs="Times New Roman"/>
          <w:b/>
        </w:rPr>
      </w:pPr>
      <w:r>
        <w:rPr>
          <w:rFonts w:hint="eastAsia" w:cs="Times New Roman"/>
          <w:b/>
        </w:rPr>
        <w:t>（二）建设过程及环保审批情况</w:t>
      </w:r>
    </w:p>
    <w:p>
      <w:pPr>
        <w:tabs>
          <w:tab w:val="left" w:pos="8674"/>
        </w:tabs>
        <w:spacing w:line="360" w:lineRule="auto"/>
        <w:ind w:firstLine="480" w:firstLineChars="200"/>
        <w:rPr>
          <w:sz w:val="24"/>
          <w:szCs w:val="24"/>
        </w:rPr>
      </w:pPr>
      <w:r>
        <w:rPr>
          <w:rFonts w:hint="eastAsia" w:cs="Times New Roman"/>
          <w:sz w:val="24"/>
          <w:szCs w:val="24"/>
        </w:rPr>
        <w:t>东莞市</w:t>
      </w:r>
      <w:r>
        <w:rPr>
          <w:rFonts w:hint="eastAsia" w:cs="Times New Roman"/>
          <w:sz w:val="24"/>
          <w:szCs w:val="24"/>
          <w:lang w:eastAsia="zh-CN"/>
        </w:rPr>
        <w:t>虎门兴裕纸业</w:t>
      </w:r>
      <w:r>
        <w:rPr>
          <w:rFonts w:hint="eastAsia" w:cs="Times New Roman"/>
          <w:color w:val="000000"/>
          <w:sz w:val="24"/>
          <w:szCs w:val="24"/>
        </w:rPr>
        <w:t>有限公司</w:t>
      </w:r>
      <w:r>
        <w:rPr>
          <w:rFonts w:hint="eastAsia" w:cs="Times New Roman"/>
          <w:color w:val="000000"/>
          <w:sz w:val="24"/>
          <w:szCs w:val="24"/>
          <w:lang w:eastAsia="zh-CN"/>
        </w:rPr>
        <w:t>在</w:t>
      </w:r>
      <w:r>
        <w:rPr>
          <w:rFonts w:hint="eastAsia" w:cs="Times New Roman"/>
          <w:color w:val="000000"/>
          <w:sz w:val="24"/>
          <w:szCs w:val="24"/>
          <w:lang w:val="en-US" w:eastAsia="zh-CN"/>
        </w:rPr>
        <w:t>2006年8月委托广州市</w:t>
      </w:r>
      <w:r>
        <w:rPr>
          <w:rFonts w:hint="eastAsia"/>
          <w:sz w:val="24"/>
          <w:szCs w:val="24"/>
        </w:rPr>
        <w:t>番禺区环境科学研究所</w:t>
      </w:r>
      <w:r>
        <w:rPr>
          <w:sz w:val="24"/>
          <w:szCs w:val="24"/>
        </w:rPr>
        <w:t>编写了《</w:t>
      </w:r>
      <w:r>
        <w:rPr>
          <w:rFonts w:hint="eastAsia"/>
          <w:sz w:val="24"/>
          <w:szCs w:val="24"/>
        </w:rPr>
        <w:t>东莞市虎门兴裕纸业有限公司</w:t>
      </w:r>
      <w:r>
        <w:rPr>
          <w:sz w:val="24"/>
          <w:szCs w:val="24"/>
        </w:rPr>
        <w:t>建设项目环境影响报告表》，并</w:t>
      </w:r>
      <w:r>
        <w:rPr>
          <w:rFonts w:hint="eastAsia"/>
          <w:sz w:val="24"/>
          <w:szCs w:val="24"/>
        </w:rPr>
        <w:t>于2006年8月22日</w:t>
      </w:r>
      <w:r>
        <w:rPr>
          <w:sz w:val="24"/>
          <w:szCs w:val="24"/>
        </w:rPr>
        <w:t>通过了东莞市环境保护局的审批同意建设，</w:t>
      </w:r>
      <w:r>
        <w:rPr>
          <w:sz w:val="24"/>
          <w:szCs w:val="24"/>
          <w:u w:val="none"/>
        </w:rPr>
        <w:t>报告表编号为</w:t>
      </w:r>
      <w:r>
        <w:rPr>
          <w:sz w:val="24"/>
          <w:szCs w:val="24"/>
          <w:u w:val="single"/>
        </w:rPr>
        <w:t>：200</w:t>
      </w:r>
      <w:r>
        <w:rPr>
          <w:rFonts w:hint="eastAsia"/>
          <w:sz w:val="24"/>
          <w:szCs w:val="24"/>
          <w:u w:val="single"/>
        </w:rPr>
        <w:t>6</w:t>
      </w:r>
      <w:r>
        <w:rPr>
          <w:sz w:val="24"/>
          <w:szCs w:val="24"/>
          <w:u w:val="single"/>
        </w:rPr>
        <w:t>年</w:t>
      </w:r>
      <w:r>
        <w:rPr>
          <w:rFonts w:hint="eastAsia"/>
          <w:sz w:val="24"/>
          <w:szCs w:val="24"/>
          <w:u w:val="single"/>
        </w:rPr>
        <w:t>2235</w:t>
      </w:r>
      <w:r>
        <w:rPr>
          <w:sz w:val="24"/>
          <w:szCs w:val="24"/>
          <w:u w:val="single"/>
        </w:rPr>
        <w:t>号</w:t>
      </w:r>
      <w:r>
        <w:rPr>
          <w:sz w:val="24"/>
          <w:szCs w:val="24"/>
        </w:rPr>
        <w:t>。</w:t>
      </w:r>
    </w:p>
    <w:p>
      <w:pPr>
        <w:tabs>
          <w:tab w:val="left" w:pos="8674"/>
        </w:tabs>
        <w:spacing w:line="360" w:lineRule="auto"/>
        <w:ind w:firstLine="480" w:firstLineChars="200"/>
        <w:rPr>
          <w:sz w:val="24"/>
          <w:szCs w:val="24"/>
          <w:u w:val="single"/>
        </w:rPr>
      </w:pPr>
      <w:r>
        <w:rPr>
          <w:sz w:val="24"/>
          <w:szCs w:val="24"/>
        </w:rPr>
        <w:t>项目于20</w:t>
      </w:r>
      <w:r>
        <w:rPr>
          <w:rFonts w:hint="eastAsia"/>
          <w:sz w:val="24"/>
          <w:szCs w:val="24"/>
        </w:rPr>
        <w:t>06</w:t>
      </w:r>
      <w:r>
        <w:rPr>
          <w:sz w:val="24"/>
          <w:szCs w:val="24"/>
        </w:rPr>
        <w:t>年</w:t>
      </w:r>
      <w:r>
        <w:rPr>
          <w:rFonts w:hint="eastAsia"/>
          <w:sz w:val="24"/>
          <w:szCs w:val="24"/>
        </w:rPr>
        <w:t>10</w:t>
      </w:r>
      <w:r>
        <w:rPr>
          <w:sz w:val="24"/>
          <w:szCs w:val="24"/>
        </w:rPr>
        <w:t>月</w:t>
      </w:r>
      <w:r>
        <w:rPr>
          <w:rFonts w:hint="eastAsia"/>
          <w:sz w:val="24"/>
          <w:szCs w:val="24"/>
        </w:rPr>
        <w:t>23</w:t>
      </w:r>
      <w:r>
        <w:rPr>
          <w:sz w:val="24"/>
          <w:szCs w:val="24"/>
        </w:rPr>
        <w:t>日</w:t>
      </w:r>
      <w:r>
        <w:rPr>
          <w:rFonts w:hint="eastAsia"/>
          <w:sz w:val="24"/>
          <w:szCs w:val="24"/>
        </w:rPr>
        <w:t>通过了</w:t>
      </w:r>
      <w:r>
        <w:rPr>
          <w:sz w:val="24"/>
          <w:szCs w:val="24"/>
        </w:rPr>
        <w:t>东莞市环境保护局</w:t>
      </w:r>
      <w:r>
        <w:rPr>
          <w:rFonts w:hint="eastAsia"/>
          <w:sz w:val="24"/>
          <w:szCs w:val="24"/>
        </w:rPr>
        <w:t>环保验收</w:t>
      </w:r>
      <w:r>
        <w:rPr>
          <w:sz w:val="24"/>
          <w:szCs w:val="24"/>
        </w:rPr>
        <w:t>，</w:t>
      </w:r>
      <w:r>
        <w:rPr>
          <w:sz w:val="24"/>
          <w:szCs w:val="24"/>
          <w:u w:val="none"/>
        </w:rPr>
        <w:t>验收文号</w:t>
      </w:r>
      <w:r>
        <w:rPr>
          <w:sz w:val="24"/>
          <w:szCs w:val="24"/>
          <w:u w:val="single"/>
        </w:rPr>
        <w:t>：东环建核﹝200</w:t>
      </w:r>
      <w:r>
        <w:rPr>
          <w:rFonts w:hint="eastAsia"/>
          <w:sz w:val="24"/>
          <w:szCs w:val="24"/>
          <w:u w:val="single"/>
        </w:rPr>
        <w:t>6</w:t>
      </w:r>
      <w:r>
        <w:rPr>
          <w:sz w:val="24"/>
          <w:szCs w:val="24"/>
          <w:u w:val="single"/>
        </w:rPr>
        <w:t>﹞</w:t>
      </w:r>
      <w:r>
        <w:rPr>
          <w:rFonts w:hint="eastAsia"/>
          <w:sz w:val="24"/>
          <w:szCs w:val="24"/>
          <w:u w:val="single"/>
        </w:rPr>
        <w:t>505</w:t>
      </w:r>
      <w:r>
        <w:rPr>
          <w:sz w:val="24"/>
          <w:szCs w:val="24"/>
          <w:u w:val="single"/>
        </w:rPr>
        <w:t>号。</w:t>
      </w:r>
    </w:p>
    <w:p>
      <w:pPr>
        <w:tabs>
          <w:tab w:val="left" w:pos="8674"/>
        </w:tabs>
        <w:spacing w:line="360" w:lineRule="auto"/>
        <w:ind w:firstLine="480" w:firstLineChars="200"/>
        <w:rPr>
          <w:sz w:val="24"/>
          <w:szCs w:val="24"/>
        </w:rPr>
      </w:pPr>
      <w:r>
        <w:rPr>
          <w:sz w:val="24"/>
          <w:szCs w:val="24"/>
        </w:rPr>
        <w:t>项目于20</w:t>
      </w:r>
      <w:r>
        <w:rPr>
          <w:rFonts w:hint="eastAsia"/>
          <w:sz w:val="24"/>
          <w:szCs w:val="24"/>
        </w:rPr>
        <w:t>13</w:t>
      </w:r>
      <w:r>
        <w:rPr>
          <w:sz w:val="24"/>
          <w:szCs w:val="24"/>
        </w:rPr>
        <w:t>年</w:t>
      </w:r>
      <w:r>
        <w:rPr>
          <w:rFonts w:hint="eastAsia"/>
          <w:sz w:val="24"/>
          <w:szCs w:val="24"/>
        </w:rPr>
        <w:t>6</w:t>
      </w:r>
      <w:r>
        <w:rPr>
          <w:sz w:val="24"/>
          <w:szCs w:val="24"/>
        </w:rPr>
        <w:t>月委托</w:t>
      </w:r>
      <w:r>
        <w:rPr>
          <w:rFonts w:hint="eastAsia"/>
          <w:sz w:val="24"/>
          <w:szCs w:val="24"/>
        </w:rPr>
        <w:t>广州市番禺区环境科学研究所</w:t>
      </w:r>
      <w:r>
        <w:rPr>
          <w:sz w:val="24"/>
          <w:szCs w:val="24"/>
        </w:rPr>
        <w:t>编写了《</w:t>
      </w:r>
      <w:r>
        <w:rPr>
          <w:rFonts w:hint="eastAsia"/>
          <w:sz w:val="24"/>
          <w:szCs w:val="24"/>
        </w:rPr>
        <w:t>东莞市虎门兴裕纸业有限公司</w:t>
      </w:r>
      <w:r>
        <w:rPr>
          <w:sz w:val="24"/>
          <w:szCs w:val="24"/>
        </w:rPr>
        <w:t>（</w:t>
      </w:r>
      <w:r>
        <w:rPr>
          <w:rFonts w:hint="eastAsia"/>
          <w:sz w:val="24"/>
          <w:szCs w:val="24"/>
        </w:rPr>
        <w:t>扩建</w:t>
      </w:r>
      <w:r>
        <w:rPr>
          <w:sz w:val="24"/>
          <w:szCs w:val="24"/>
        </w:rPr>
        <w:t>）建设项目环境影响报告表》，并于20</w:t>
      </w:r>
      <w:r>
        <w:rPr>
          <w:rFonts w:hint="eastAsia"/>
          <w:sz w:val="24"/>
          <w:szCs w:val="24"/>
        </w:rPr>
        <w:t>13</w:t>
      </w:r>
      <w:r>
        <w:rPr>
          <w:sz w:val="24"/>
          <w:szCs w:val="24"/>
        </w:rPr>
        <w:t>年</w:t>
      </w:r>
      <w:r>
        <w:rPr>
          <w:rFonts w:hint="eastAsia"/>
          <w:sz w:val="24"/>
          <w:szCs w:val="24"/>
        </w:rPr>
        <w:t>9</w:t>
      </w:r>
      <w:r>
        <w:rPr>
          <w:sz w:val="24"/>
          <w:szCs w:val="24"/>
        </w:rPr>
        <w:t>月</w:t>
      </w:r>
      <w:r>
        <w:rPr>
          <w:rFonts w:hint="eastAsia"/>
          <w:sz w:val="24"/>
          <w:szCs w:val="24"/>
        </w:rPr>
        <w:t>2</w:t>
      </w:r>
      <w:r>
        <w:rPr>
          <w:sz w:val="24"/>
          <w:szCs w:val="24"/>
        </w:rPr>
        <w:t>日通过了东莞市环境保护局</w:t>
      </w:r>
      <w:r>
        <w:rPr>
          <w:rFonts w:hint="eastAsia"/>
          <w:sz w:val="24"/>
          <w:szCs w:val="24"/>
        </w:rPr>
        <w:t>虎门分局</w:t>
      </w:r>
      <w:r>
        <w:rPr>
          <w:sz w:val="24"/>
          <w:szCs w:val="24"/>
        </w:rPr>
        <w:t>的审批同意建设，</w:t>
      </w:r>
      <w:r>
        <w:rPr>
          <w:rFonts w:hint="eastAsia"/>
          <w:sz w:val="24"/>
          <w:szCs w:val="24"/>
          <w:u w:val="none"/>
        </w:rPr>
        <w:t>审批编号</w:t>
      </w:r>
      <w:r>
        <w:rPr>
          <w:sz w:val="24"/>
          <w:szCs w:val="24"/>
          <w:u w:val="none"/>
        </w:rPr>
        <w:t>为</w:t>
      </w:r>
      <w:r>
        <w:rPr>
          <w:sz w:val="24"/>
          <w:szCs w:val="24"/>
          <w:u w:val="single"/>
        </w:rPr>
        <w:t>：东环建</w:t>
      </w:r>
      <w:r>
        <w:rPr>
          <w:rFonts w:hint="eastAsia"/>
          <w:sz w:val="24"/>
          <w:szCs w:val="24"/>
          <w:u w:val="single"/>
        </w:rPr>
        <w:t>（虎）</w:t>
      </w:r>
      <w:r>
        <w:rPr>
          <w:sz w:val="24"/>
          <w:szCs w:val="24"/>
          <w:u w:val="single"/>
        </w:rPr>
        <w:t>﹝20</w:t>
      </w:r>
      <w:r>
        <w:rPr>
          <w:rFonts w:hint="eastAsia"/>
          <w:sz w:val="24"/>
          <w:szCs w:val="24"/>
          <w:u w:val="single"/>
        </w:rPr>
        <w:t>13</w:t>
      </w:r>
      <w:r>
        <w:rPr>
          <w:sz w:val="24"/>
          <w:szCs w:val="24"/>
          <w:u w:val="single"/>
        </w:rPr>
        <w:t>﹞</w:t>
      </w:r>
      <w:r>
        <w:rPr>
          <w:rFonts w:hint="eastAsia"/>
          <w:sz w:val="24"/>
          <w:szCs w:val="24"/>
          <w:u w:val="single"/>
        </w:rPr>
        <w:t>184</w:t>
      </w:r>
      <w:r>
        <w:rPr>
          <w:sz w:val="24"/>
          <w:szCs w:val="24"/>
          <w:u w:val="single"/>
        </w:rPr>
        <w:t>号</w:t>
      </w:r>
      <w:r>
        <w:rPr>
          <w:sz w:val="24"/>
          <w:szCs w:val="24"/>
        </w:rPr>
        <w:t>。</w:t>
      </w:r>
    </w:p>
    <w:p>
      <w:pPr>
        <w:tabs>
          <w:tab w:val="left" w:pos="8674"/>
        </w:tabs>
        <w:spacing w:line="360" w:lineRule="auto"/>
        <w:ind w:firstLine="480" w:firstLineChars="200"/>
        <w:rPr>
          <w:sz w:val="24"/>
          <w:szCs w:val="24"/>
        </w:rPr>
      </w:pPr>
      <w:r>
        <w:rPr>
          <w:sz w:val="24"/>
          <w:szCs w:val="24"/>
        </w:rPr>
        <w:t>项目于2</w:t>
      </w:r>
      <w:r>
        <w:rPr>
          <w:rFonts w:hint="eastAsia"/>
          <w:sz w:val="24"/>
          <w:szCs w:val="24"/>
        </w:rPr>
        <w:t>016</w:t>
      </w:r>
      <w:r>
        <w:rPr>
          <w:sz w:val="24"/>
          <w:szCs w:val="24"/>
        </w:rPr>
        <w:t>年</w:t>
      </w:r>
      <w:r>
        <w:rPr>
          <w:rFonts w:hint="eastAsia"/>
          <w:sz w:val="24"/>
          <w:szCs w:val="24"/>
        </w:rPr>
        <w:t>10</w:t>
      </w:r>
      <w:r>
        <w:rPr>
          <w:sz w:val="24"/>
          <w:szCs w:val="24"/>
        </w:rPr>
        <w:t>月25日</w:t>
      </w:r>
      <w:r>
        <w:rPr>
          <w:rFonts w:hint="eastAsia"/>
          <w:sz w:val="24"/>
          <w:szCs w:val="24"/>
        </w:rPr>
        <w:t>通过了</w:t>
      </w:r>
      <w:r>
        <w:rPr>
          <w:sz w:val="24"/>
          <w:szCs w:val="24"/>
        </w:rPr>
        <w:t>东莞市环境保护局</w:t>
      </w:r>
      <w:r>
        <w:rPr>
          <w:rFonts w:hint="eastAsia"/>
          <w:sz w:val="24"/>
          <w:szCs w:val="24"/>
          <w:lang w:eastAsia="zh-CN"/>
        </w:rPr>
        <w:t>虎门分局</w:t>
      </w:r>
      <w:r>
        <w:rPr>
          <w:rFonts w:hint="eastAsia"/>
          <w:sz w:val="24"/>
          <w:szCs w:val="24"/>
        </w:rPr>
        <w:t>竣工</w:t>
      </w:r>
      <w:r>
        <w:rPr>
          <w:sz w:val="24"/>
          <w:szCs w:val="24"/>
        </w:rPr>
        <w:t>环境保护验收，</w:t>
      </w:r>
      <w:r>
        <w:rPr>
          <w:sz w:val="24"/>
          <w:szCs w:val="24"/>
          <w:u w:val="none"/>
        </w:rPr>
        <w:t>验收文号</w:t>
      </w:r>
      <w:r>
        <w:rPr>
          <w:sz w:val="24"/>
          <w:szCs w:val="24"/>
          <w:u w:val="single"/>
        </w:rPr>
        <w:t>：东环建﹝20</w:t>
      </w:r>
      <w:r>
        <w:rPr>
          <w:rFonts w:hint="eastAsia"/>
          <w:sz w:val="24"/>
          <w:szCs w:val="24"/>
          <w:u w:val="single"/>
        </w:rPr>
        <w:t>16</w:t>
      </w:r>
      <w:r>
        <w:rPr>
          <w:sz w:val="24"/>
          <w:szCs w:val="24"/>
          <w:u w:val="single"/>
        </w:rPr>
        <w:t>﹞</w:t>
      </w:r>
      <w:r>
        <w:rPr>
          <w:rFonts w:hint="eastAsia"/>
          <w:sz w:val="24"/>
          <w:szCs w:val="24"/>
          <w:u w:val="single"/>
        </w:rPr>
        <w:t>13636</w:t>
      </w:r>
      <w:r>
        <w:rPr>
          <w:sz w:val="24"/>
          <w:szCs w:val="24"/>
          <w:u w:val="single"/>
        </w:rPr>
        <w:t>号。</w:t>
      </w:r>
    </w:p>
    <w:p>
      <w:pPr>
        <w:pStyle w:val="19"/>
        <w:ind w:left="0" w:leftChars="0" w:firstLine="480" w:firstLineChars="200"/>
        <w:rPr>
          <w:rFonts w:cs="Times New Roman"/>
          <w:color w:val="000000"/>
        </w:rPr>
      </w:pPr>
      <w:r>
        <w:rPr>
          <w:rFonts w:hint="eastAsia" w:cs="Times New Roman"/>
          <w:color w:val="000000"/>
          <w:lang w:eastAsia="zh-CN"/>
        </w:rPr>
        <w:t>由于本项目发展需要，项目</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1</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虎门兴裕纸业</w:t>
      </w:r>
      <w:r>
        <w:rPr>
          <w:rFonts w:hint="eastAsia" w:cs="Times New Roman"/>
          <w:color w:val="000000"/>
        </w:rPr>
        <w:t>有限公司</w:t>
      </w:r>
      <w:r>
        <w:rPr>
          <w:rFonts w:hint="eastAsia" w:cs="Times New Roman"/>
          <w:color w:val="000000"/>
          <w:lang w:eastAsia="zh-CN"/>
        </w:rPr>
        <w:t>（二次扩建）</w:t>
      </w:r>
      <w:r>
        <w:rPr>
          <w:rFonts w:hint="eastAsia" w:cs="Times New Roman"/>
          <w:color w:val="000000"/>
        </w:rPr>
        <w:t>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12631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本</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w:t>
      </w:r>
      <w:r>
        <w:rPr>
          <w:rFonts w:hint="eastAsia" w:ascii="Times New Roman"/>
          <w:sz w:val="24"/>
        </w:rPr>
        <w:t>项目总投资</w:t>
      </w:r>
      <w:r>
        <w:rPr>
          <w:rFonts w:hint="eastAsia" w:ascii="Times New Roman" w:hAnsi="Times New Roman"/>
          <w:sz w:val="24"/>
          <w:lang w:val="en-US" w:eastAsia="zh-CN"/>
        </w:rPr>
        <w:t>160</w:t>
      </w:r>
      <w:r>
        <w:rPr>
          <w:rFonts w:hint="eastAsia" w:ascii="Times New Roman"/>
          <w:sz w:val="24"/>
        </w:rPr>
        <w:t>万元，其中环保投资为</w:t>
      </w:r>
      <w:r>
        <w:rPr>
          <w:rFonts w:hint="eastAsia" w:ascii="Times New Roman" w:hAnsi="Times New Roman"/>
          <w:sz w:val="24"/>
          <w:lang w:val="en-US" w:eastAsia="zh-CN"/>
        </w:rPr>
        <w:t>13</w:t>
      </w:r>
      <w:r>
        <w:rPr>
          <w:rFonts w:hint="eastAsia" w:ascii="Times New Roman"/>
          <w:sz w:val="24"/>
        </w:rPr>
        <w:t>万元，占总投资的</w:t>
      </w:r>
      <w:r>
        <w:rPr>
          <w:rFonts w:hint="eastAsia" w:ascii="Times New Roman" w:hAnsi="Times New Roman"/>
          <w:sz w:val="24"/>
          <w:lang w:val="en-US" w:eastAsia="zh-CN"/>
        </w:rPr>
        <w:t>8.1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本项目</w:t>
      </w:r>
      <w:r>
        <w:rPr>
          <w:rFonts w:ascii="宋体" w:hAnsi="宋体" w:eastAsia="宋体" w:cs="宋体"/>
          <w:sz w:val="24"/>
          <w:szCs w:val="24"/>
        </w:rPr>
        <w:t>不排放生产性废水。水喷淋废水（2t/a）、设备清洗废水（40.5t/a）经固定的</w:t>
      </w:r>
      <w:r>
        <w:rPr>
          <w:rFonts w:hint="eastAsia" w:ascii="宋体" w:hAnsi="宋体" w:cs="宋体"/>
          <w:sz w:val="24"/>
          <w:szCs w:val="24"/>
          <w:lang w:eastAsia="zh-CN"/>
        </w:rPr>
        <w:t>废水桶</w:t>
      </w:r>
      <w:r>
        <w:rPr>
          <w:rFonts w:ascii="宋体" w:hAnsi="宋体" w:eastAsia="宋体" w:cs="宋体"/>
          <w:sz w:val="24"/>
          <w:szCs w:val="24"/>
        </w:rPr>
        <w:t xml:space="preserve">收集设施收集后交给有资质的单位处理。 </w:t>
      </w:r>
    </w:p>
    <w:p>
      <w:pPr>
        <w:spacing w:line="360" w:lineRule="auto"/>
        <w:ind w:firstLine="480" w:firstLineChars="200"/>
        <w:rPr>
          <w:rFonts w:ascii="Times New Roman" w:hAnsi="Times New Roman"/>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涂布、烘烤工序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 《印刷行业挥发性有机化合物排放标准》（DB44/815-2010）第 II 时段排放限值。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20191112001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88.3</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hint="eastAsia"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本项目</w:t>
      </w:r>
      <w:r>
        <w:rPr>
          <w:rFonts w:ascii="宋体" w:hAnsi="宋体" w:eastAsia="宋体" w:cs="宋体"/>
          <w:sz w:val="24"/>
          <w:szCs w:val="24"/>
        </w:rPr>
        <w:t>不排放生产性废水。水喷淋废水（2t/a）、设备清洗废水（40.5t/a）经固定的</w:t>
      </w:r>
      <w:r>
        <w:rPr>
          <w:rFonts w:hint="eastAsia" w:ascii="宋体" w:hAnsi="宋体" w:cs="宋体"/>
          <w:sz w:val="24"/>
          <w:szCs w:val="24"/>
          <w:lang w:eastAsia="zh-CN"/>
        </w:rPr>
        <w:t>废水桶</w:t>
      </w:r>
      <w:r>
        <w:rPr>
          <w:rFonts w:ascii="宋体" w:hAnsi="宋体" w:eastAsia="宋体" w:cs="宋体"/>
          <w:sz w:val="24"/>
          <w:szCs w:val="24"/>
        </w:rPr>
        <w:t xml:space="preserve">收集设施收集后交给有资质的单位处理。 </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w:t>
      </w:r>
      <w:r>
        <w:rPr>
          <w:rFonts w:hint="eastAsia" w:ascii="Times New Roman" w:hAnsi="Times New Roman"/>
          <w:sz w:val="24"/>
          <w:szCs w:val="24"/>
        </w:rPr>
        <w:t>项目</w:t>
      </w:r>
      <w:r>
        <w:rPr>
          <w:rFonts w:ascii="宋体" w:hAnsi="宋体" w:eastAsia="宋体" w:cs="宋体"/>
          <w:sz w:val="24"/>
          <w:szCs w:val="24"/>
        </w:rPr>
        <w:t>涂布、烘烤工序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 《印刷行业挥发性有机化合物排放标准》（DB44/815-2010）第 II 时段排放限值。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20191112001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bookmarkStart w:id="0" w:name="_GoBack"/>
      <w:bookmarkEnd w:id="0"/>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本</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20191112001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东莞市虎门兴裕纸业有限公司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本项目不从事夜间生产，如若项目需从事夜间生产，再申报夜间噪音达标验收。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虎门兴裕纸业</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11-13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b/>
          <w:sz w:val="28"/>
          <w:szCs w:val="28"/>
          <w:lang w:val="en-US" w:eastAsia="zh-CN"/>
        </w:rPr>
      </w:pPr>
      <w:r>
        <w:rPr>
          <w:rFonts w:hint="eastAsia" w:ascii="Times New Roman" w:hAnsi="Times New Roman"/>
          <w:b/>
          <w:sz w:val="28"/>
          <w:szCs w:val="28"/>
          <w:lang w:val="en-US" w:eastAsia="zh-CN"/>
        </w:rPr>
        <w:t xml:space="preserve">   </w:t>
      </w:r>
    </w:p>
    <w:p>
      <w:pPr>
        <w:spacing w:line="360" w:lineRule="auto"/>
        <w:ind w:firstLine="562" w:firstLineChars="200"/>
        <w:jc w:val="center"/>
        <w:rPr>
          <w:rFonts w:hint="default" w:ascii="Times New Roman" w:hAnsi="Times New Roman"/>
          <w:b/>
          <w:sz w:val="28"/>
          <w:szCs w:val="28"/>
          <w:lang w:val="en-US" w:eastAsia="zh-CN"/>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虎门兴裕纸业</w:t>
      </w:r>
      <w:r>
        <w:rPr>
          <w:rFonts w:hint="eastAsia" w:ascii="Times New Roman" w:hAnsi="Times New Roman"/>
          <w:b/>
          <w:sz w:val="28"/>
          <w:szCs w:val="28"/>
        </w:rPr>
        <w:t>有限公司</w:t>
      </w:r>
      <w:r>
        <w:rPr>
          <w:rFonts w:hint="eastAsia" w:ascii="Times New Roman" w:hAnsi="Times New Roman"/>
          <w:b/>
          <w:sz w:val="28"/>
          <w:szCs w:val="28"/>
          <w:lang w:eastAsia="zh-CN"/>
        </w:rPr>
        <w:t>（二次扩建）</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9627BC8"/>
    <w:rsid w:val="1A2A0674"/>
    <w:rsid w:val="1AFD3DF1"/>
    <w:rsid w:val="1B0C61B0"/>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C941076"/>
    <w:rsid w:val="3F3573BE"/>
    <w:rsid w:val="406B0E51"/>
    <w:rsid w:val="43F8288A"/>
    <w:rsid w:val="4AD63029"/>
    <w:rsid w:val="4D925BF8"/>
    <w:rsid w:val="53177114"/>
    <w:rsid w:val="582E11CE"/>
    <w:rsid w:val="59733214"/>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2019-12-12T00:41:07Z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