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w:t>
      </w:r>
      <w:r>
        <w:rPr>
          <w:rFonts w:hint="eastAsia" w:ascii="Times New Roman"/>
          <w:b/>
          <w:sz w:val="28"/>
          <w:szCs w:val="28"/>
          <w:lang w:eastAsia="zh-CN"/>
        </w:rPr>
        <w:t>哈德威尔五金制品</w:t>
      </w:r>
      <w:r>
        <w:rPr>
          <w:rFonts w:hint="eastAsia" w:ascii="Times New Roman"/>
          <w:b/>
          <w:sz w:val="28"/>
          <w:szCs w:val="28"/>
        </w:rPr>
        <w:t>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26</w:t>
      </w:r>
      <w:r>
        <w:rPr>
          <w:rFonts w:hint="eastAsia" w:ascii="Times New Roman"/>
          <w:sz w:val="24"/>
          <w:szCs w:val="24"/>
        </w:rPr>
        <w:t>日东莞</w:t>
      </w:r>
      <w:r>
        <w:rPr>
          <w:rFonts w:hint="eastAsia" w:ascii="Times New Roman"/>
          <w:sz w:val="24"/>
          <w:szCs w:val="24"/>
          <w:lang w:eastAsia="zh-CN"/>
        </w:rPr>
        <w:t>哈德威尔五金制品</w:t>
      </w:r>
      <w:r>
        <w:rPr>
          <w:rFonts w:hint="eastAsia" w:ascii="Times New Roman"/>
          <w:sz w:val="24"/>
          <w:szCs w:val="24"/>
        </w:rPr>
        <w:t>有限公司根据东莞</w:t>
      </w:r>
      <w:r>
        <w:rPr>
          <w:rFonts w:hint="eastAsia" w:ascii="Times New Roman"/>
          <w:sz w:val="24"/>
          <w:szCs w:val="24"/>
          <w:lang w:eastAsia="zh-CN"/>
        </w:rPr>
        <w:t>哈德威尔五金制品</w:t>
      </w:r>
      <w:r>
        <w:rPr>
          <w:rFonts w:hint="eastAsia" w:ascii="Times New Roman"/>
          <w:sz w:val="24"/>
          <w:szCs w:val="24"/>
        </w:rPr>
        <w:t>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w:t>
      </w:r>
      <w:r>
        <w:rPr>
          <w:rFonts w:hint="eastAsia" w:cs="Times New Roman"/>
          <w:lang w:eastAsia="zh-CN"/>
        </w:rPr>
        <w:t>哈德威尔五金制品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虎门镇北栅中兴路西</w:t>
      </w:r>
      <w:r>
        <w:rPr>
          <w:rFonts w:hint="eastAsia" w:cs="Times New Roman"/>
          <w:color w:val="000000"/>
          <w:lang w:val="en-US" w:eastAsia="zh-CN"/>
        </w:rPr>
        <w:t>7号一楼101</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40.30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29.86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w:t>
      </w:r>
      <w:r>
        <w:rPr>
          <w:rFonts w:cs="Times New Roman"/>
        </w:rPr>
        <w:t>00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加工生产五金模具配件</w:t>
      </w:r>
      <w:r>
        <w:rPr>
          <w:rFonts w:hint="eastAsia" w:cs="Times New Roman"/>
        </w:rPr>
        <w:t>，年</w:t>
      </w:r>
      <w:r>
        <w:rPr>
          <w:rFonts w:hint="eastAsia" w:cs="Times New Roman"/>
          <w:lang w:eastAsia="zh-CN"/>
        </w:rPr>
        <w:t>加工生产五金模具配件</w:t>
      </w:r>
      <w:r>
        <w:rPr>
          <w:rFonts w:hint="eastAsia" w:cs="Times New Roman"/>
          <w:lang w:val="en-US" w:eastAsia="zh-CN"/>
        </w:rPr>
        <w:t>24套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w:t>
      </w:r>
      <w:r>
        <w:rPr>
          <w:rFonts w:hint="eastAsia" w:cs="Times New Roman"/>
          <w:lang w:eastAsia="zh-CN"/>
        </w:rPr>
        <w:t>哈德威尔五金制品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w:t>
      </w:r>
      <w:r>
        <w:rPr>
          <w:rFonts w:hint="eastAsia" w:cs="Times New Roman"/>
          <w:color w:val="000000"/>
          <w:lang w:eastAsia="zh-CN"/>
        </w:rPr>
        <w:t>哈德威尔五金制品</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9979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现有设备详情（附表）</w:t>
      </w:r>
    </w:p>
    <w:tbl>
      <w:tblPr>
        <w:tblStyle w:val="9"/>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79"/>
        <w:gridCol w:w="1420"/>
        <w:gridCol w:w="1420"/>
        <w:gridCol w:w="191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6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1879"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4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4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91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是否与环评一致</w:t>
            </w:r>
          </w:p>
        </w:tc>
        <w:tc>
          <w:tcPr>
            <w:tcW w:w="131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精密切割机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313"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数控磨床</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313"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手动磨床</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313"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高度仪</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1把</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1把</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313"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比测仪</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313"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1313"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辅助设备</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不排放生产性废水。机加工用水循环使用，不外排。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机加工工序</w:t>
      </w:r>
      <w:r>
        <w:rPr>
          <w:rFonts w:ascii="宋体" w:hAnsi="宋体" w:eastAsia="宋体" w:cs="宋体"/>
          <w:sz w:val="24"/>
          <w:szCs w:val="24"/>
        </w:rPr>
        <w:t>加强车间通风。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不排放生产性废水。机加工用水循环使用，不外排。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机加工工序</w:t>
      </w:r>
      <w:r>
        <w:rPr>
          <w:rFonts w:ascii="宋体" w:hAnsi="宋体" w:eastAsia="宋体" w:cs="宋体"/>
          <w:sz w:val="24"/>
          <w:szCs w:val="24"/>
        </w:rPr>
        <w:t>加强车间通风。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90190315006</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outlineLvl w:val="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w:t>
      </w:r>
      <w:r>
        <w:rPr>
          <w:rFonts w:ascii="宋体" w:hAnsi="宋体" w:eastAsia="宋体" w:cs="宋体"/>
          <w:sz w:val="24"/>
          <w:szCs w:val="24"/>
        </w:rPr>
        <w:t>机加工用水循环使用，不外排。生活污水经</w:t>
      </w:r>
      <w:r>
        <w:rPr>
          <w:rFonts w:hint="eastAsia" w:ascii="宋体" w:hAnsi="宋体" w:cs="宋体"/>
          <w:sz w:val="24"/>
          <w:szCs w:val="24"/>
          <w:lang w:eastAsia="zh-CN"/>
        </w:rPr>
        <w:t>三级化粪池</w:t>
      </w:r>
      <w:r>
        <w:rPr>
          <w:rFonts w:ascii="宋体" w:hAnsi="宋体" w:eastAsia="宋体" w:cs="宋体"/>
          <w:sz w:val="24"/>
          <w:szCs w:val="24"/>
        </w:rPr>
        <w:t>处理后</w:t>
      </w:r>
      <w:r>
        <w:rPr>
          <w:rFonts w:hint="eastAsia" w:ascii="Times New Roman" w:hAnsi="Times New Roman"/>
          <w:sz w:val="24"/>
          <w:szCs w:val="24"/>
          <w:lang w:eastAsia="zh-CN"/>
        </w:rPr>
        <w:t>，</w:t>
      </w:r>
      <w:r>
        <w:rPr>
          <w:rFonts w:ascii="宋体" w:hAnsi="宋体" w:eastAsia="宋体" w:cs="宋体"/>
          <w:sz w:val="24"/>
          <w:szCs w:val="24"/>
        </w:rPr>
        <w:t>排入市政截污管网，引至东莞市虎门宁洲污水处理厂处理。</w:t>
      </w:r>
      <w:r>
        <w:rPr>
          <w:rFonts w:hint="eastAsia" w:ascii="Times New Roman" w:hAnsi="Times New Roman"/>
          <w:sz w:val="24"/>
          <w:szCs w:val="24"/>
        </w:rPr>
        <w:t>项目</w:t>
      </w:r>
      <w:r>
        <w:rPr>
          <w:rFonts w:hint="eastAsia" w:ascii="Times New Roman" w:hAnsi="Times New Roman"/>
          <w:sz w:val="24"/>
          <w:szCs w:val="24"/>
          <w:lang w:eastAsia="zh-CN"/>
        </w:rPr>
        <w:t>机加工工序</w:t>
      </w:r>
      <w:r>
        <w:rPr>
          <w:rFonts w:ascii="宋体" w:hAnsi="宋体" w:eastAsia="宋体" w:cs="宋体"/>
          <w:sz w:val="24"/>
          <w:szCs w:val="24"/>
        </w:rPr>
        <w:t>加强车间通风。</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w:t>
      </w:r>
      <w:r>
        <w:rPr>
          <w:rFonts w:hint="eastAsia" w:ascii="Times New Roman" w:hAnsi="Times New Roman"/>
          <w:sz w:val="24"/>
          <w:szCs w:val="24"/>
          <w:lang w:eastAsia="zh-CN"/>
        </w:rPr>
        <w:t>哈德威尔五金制品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04-26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w:t>
      </w:r>
      <w:r>
        <w:rPr>
          <w:rFonts w:hint="eastAsia" w:ascii="Times New Roman" w:hAnsi="Times New Roman"/>
          <w:b/>
          <w:sz w:val="28"/>
          <w:szCs w:val="28"/>
          <w:lang w:eastAsia="zh-CN"/>
        </w:rPr>
        <w:t>哈德威尔五金制品</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bookmarkStart w:id="0" w:name="_GoBack"/>
            <w:bookmarkEnd w:id="0"/>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BFD2448"/>
    <w:rsid w:val="0D343BE4"/>
    <w:rsid w:val="0FCE5A89"/>
    <w:rsid w:val="114C068B"/>
    <w:rsid w:val="123D1278"/>
    <w:rsid w:val="12D9070B"/>
    <w:rsid w:val="198B2548"/>
    <w:rsid w:val="1A2A0674"/>
    <w:rsid w:val="1B2025A9"/>
    <w:rsid w:val="26547E6C"/>
    <w:rsid w:val="2D686495"/>
    <w:rsid w:val="39EA14F8"/>
    <w:rsid w:val="3B885DD3"/>
    <w:rsid w:val="3F3573BE"/>
    <w:rsid w:val="4AD63029"/>
    <w:rsid w:val="4D8E7CBD"/>
    <w:rsid w:val="4D925BF8"/>
    <w:rsid w:val="4E5A1462"/>
    <w:rsid w:val="53177114"/>
    <w:rsid w:val="582E11CE"/>
    <w:rsid w:val="59971B00"/>
    <w:rsid w:val="5D5242FD"/>
    <w:rsid w:val="60ED1601"/>
    <w:rsid w:val="63B50DE9"/>
    <w:rsid w:val="67D61337"/>
    <w:rsid w:val="6E801591"/>
    <w:rsid w:val="6ED22FFA"/>
    <w:rsid w:val="70B61F0E"/>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2019-04-26T09:09:14Z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